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58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tblStyle w:val="Style_1"/>
              <w:tblW w:type="auto" w:w="0"/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9158"/>
            </w:tblGrid>
            <w:tr>
              <w:tc>
                <w:tcPr>
                  <w:tcW w:type="dxa" w:w="9158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 w14:paraId="04000000">
                  <w:pPr>
                    <w:widowControl w:val="1"/>
                    <w:spacing w:after="0" w:before="0"/>
                    <w:ind w:firstLine="0" w:left="0" w:right="0"/>
                    <w:jc w:val="both"/>
                    <w:rPr>
                      <w:b w:val="0"/>
                    </w:rPr>
                  </w:pP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     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>Утверждены правила составления проекта федерального бюджета и проектов бюджетов государственных внебюджетных фондов РФ на очередной финансовый год и плановый период</w:t>
                  </w:r>
                </w:p>
              </w:tc>
            </w:tr>
          </w:tbl>
          <w:p w14:paraId="05000000"/>
        </w:tc>
      </w:tr>
    </w:tbl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7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8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остановлением Правительства РФ от 07.05.2026 N 525 "Об утверждении Правил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период" </w:t>
      </w:r>
      <w:r>
        <w:rPr>
          <w:rFonts w:ascii="Times New Roman" w:hAnsi="Times New Roman"/>
          <w:b w:val="0"/>
          <w:sz w:val="28"/>
        </w:rPr>
        <w:t xml:space="preserve"> определены правила полномочия субъектов бюджетного планирования, а также установлены требования к формированию, согласованию (одобрению), утверждению и представлению документов и материалов, разрабатываемых при составлении проекта федерального бюджета и проектов бюджетов государственных внебюджетных фондов РФ.</w:t>
      </w:r>
      <w:r>
        <w:rPr>
          <w:rFonts w:ascii="Times New Roman" w:hAnsi="Times New Roman"/>
          <w:sz w:val="28"/>
        </w:rPr>
        <w:t xml:space="preserve"> 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b w:val="0"/>
          <w:sz w:val="28"/>
        </w:rPr>
        <w:t>В приложениях приведены в числе прочего факторы, учитываемые при расчете базовых бюджетных ассигнований при составлении проекта федерального бюджета.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Утрачивает силу ряд нормативных правовых актов Правительства РФ, включая Постановление от 24 марта 2018 г. N 326 "Об утверждении Правил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 и признании утратившими силу некоторых актов Правительства Российской Федерации".</w:t>
      </w:r>
    </w:p>
    <w:p w14:paraId="0C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D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E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1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2026-05-21T15:46:14Z</dcterms:modified>
</cp:coreProperties>
</file>